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1" w:type="dxa"/>
        <w:tblInd w:w="-601" w:type="dxa"/>
        <w:tblLook w:val="01E0"/>
      </w:tblPr>
      <w:tblGrid>
        <w:gridCol w:w="4678"/>
        <w:gridCol w:w="5773"/>
      </w:tblGrid>
      <w:tr w:rsidR="00955D73" w:rsidRPr="0096207B" w:rsidTr="00CB7753">
        <w:trPr>
          <w:trHeight w:val="1080"/>
        </w:trPr>
        <w:tc>
          <w:tcPr>
            <w:tcW w:w="4678" w:type="dxa"/>
          </w:tcPr>
          <w:p w:rsidR="00955D73" w:rsidRPr="0040011B" w:rsidRDefault="00955D73" w:rsidP="00CB7753">
            <w:pPr>
              <w:spacing w:before="0" w:after="0"/>
              <w:ind w:firstLine="0"/>
              <w:jc w:val="center"/>
              <w:rPr>
                <w:b/>
                <w:sz w:val="26"/>
                <w:szCs w:val="26"/>
                <w:lang w:val="vi-VN"/>
              </w:rPr>
            </w:pPr>
            <w:r w:rsidRPr="0040011B">
              <w:rPr>
                <w:b/>
                <w:sz w:val="26"/>
                <w:szCs w:val="26"/>
              </w:rPr>
              <w:t>C</w:t>
            </w:r>
            <w:r w:rsidRPr="0040011B">
              <w:rPr>
                <w:b/>
                <w:sz w:val="26"/>
                <w:szCs w:val="26"/>
                <w:lang w:val="vi-VN"/>
              </w:rPr>
              <w:t xml:space="preserve">ÔNG </w:t>
            </w:r>
            <w:r w:rsidRPr="0040011B">
              <w:rPr>
                <w:b/>
                <w:sz w:val="26"/>
                <w:szCs w:val="26"/>
              </w:rPr>
              <w:t xml:space="preserve">TY </w:t>
            </w:r>
            <w:r w:rsidRPr="0040011B">
              <w:rPr>
                <w:b/>
                <w:sz w:val="26"/>
                <w:szCs w:val="26"/>
                <w:lang w:val="vi-VN"/>
              </w:rPr>
              <w:t>CỔ PH</w:t>
            </w:r>
            <w:r>
              <w:rPr>
                <w:b/>
                <w:sz w:val="26"/>
                <w:szCs w:val="26"/>
              </w:rPr>
              <w:t>Ầ</w:t>
            </w:r>
            <w:r w:rsidRPr="0040011B">
              <w:rPr>
                <w:b/>
                <w:sz w:val="26"/>
                <w:szCs w:val="26"/>
                <w:lang w:val="vi-VN"/>
              </w:rPr>
              <w:t xml:space="preserve">N </w:t>
            </w:r>
          </w:p>
          <w:p w:rsidR="00955D73" w:rsidRPr="001560E6" w:rsidRDefault="00955D73" w:rsidP="00CB7753">
            <w:pPr>
              <w:spacing w:before="0" w:after="0"/>
              <w:ind w:left="-108" w:firstLine="108"/>
              <w:jc w:val="center"/>
              <w:rPr>
                <w:b/>
                <w:sz w:val="26"/>
                <w:szCs w:val="26"/>
                <w:lang w:val="vi-VN"/>
              </w:rPr>
            </w:pPr>
            <w:r w:rsidRPr="001560E6">
              <w:rPr>
                <w:b/>
                <w:sz w:val="26"/>
                <w:szCs w:val="26"/>
                <w:lang w:val="vi-VN"/>
              </w:rPr>
              <w:t xml:space="preserve">MAI LINH </w:t>
            </w:r>
            <w:r>
              <w:rPr>
                <w:b/>
                <w:sz w:val="26"/>
                <w:szCs w:val="26"/>
              </w:rPr>
              <w:t>MIỀN TRUNG</w:t>
            </w:r>
          </w:p>
          <w:p w:rsidR="00955D73" w:rsidRDefault="0039772F" w:rsidP="00CB7753">
            <w:pPr>
              <w:spacing w:before="0" w:after="0"/>
              <w:ind w:firstLine="0"/>
              <w:jc w:val="center"/>
              <w:rPr>
                <w:sz w:val="26"/>
                <w:szCs w:val="26"/>
                <w:lang w:val="vi-VN"/>
              </w:rPr>
            </w:pPr>
            <w:r w:rsidRPr="0039772F">
              <w:rPr>
                <w:b/>
                <w:noProof/>
                <w:sz w:val="26"/>
                <w:szCs w:val="26"/>
                <w:lang w:val="vi-VN" w:eastAsia="vi-VN"/>
              </w:rPr>
              <w:pict>
                <v:line id="_x0000_s1026" style="position:absolute;left:0;text-align:left;flip:y;z-index:251657216" from="58.2pt,7.25pt" to="148.2pt,7.25pt"/>
              </w:pict>
            </w:r>
          </w:p>
          <w:p w:rsidR="00955D73" w:rsidRPr="00682FE5" w:rsidRDefault="00955D73" w:rsidP="00CB7753">
            <w:pPr>
              <w:spacing w:before="0" w:after="0"/>
              <w:ind w:firstLine="0"/>
              <w:jc w:val="center"/>
              <w:rPr>
                <w:sz w:val="26"/>
                <w:szCs w:val="26"/>
              </w:rPr>
            </w:pPr>
            <w:r>
              <w:rPr>
                <w:sz w:val="26"/>
                <w:szCs w:val="26"/>
                <w:lang w:val="vi-VN"/>
              </w:rPr>
              <w:t xml:space="preserve">Số: </w:t>
            </w:r>
            <w:r>
              <w:rPr>
                <w:sz w:val="26"/>
                <w:szCs w:val="26"/>
              </w:rPr>
              <w:t>1</w:t>
            </w:r>
            <w:r w:rsidR="000324C0">
              <w:rPr>
                <w:sz w:val="26"/>
                <w:szCs w:val="26"/>
              </w:rPr>
              <w:t>3</w:t>
            </w:r>
            <w:r>
              <w:rPr>
                <w:sz w:val="26"/>
                <w:szCs w:val="26"/>
                <w:lang w:val="vi-VN"/>
              </w:rPr>
              <w:t>/</w:t>
            </w:r>
            <w:r>
              <w:rPr>
                <w:sz w:val="26"/>
                <w:szCs w:val="26"/>
              </w:rPr>
              <w:t>CV-2014</w:t>
            </w:r>
          </w:p>
        </w:tc>
        <w:tc>
          <w:tcPr>
            <w:tcW w:w="5773" w:type="dxa"/>
          </w:tcPr>
          <w:p w:rsidR="00955D73" w:rsidRPr="0040011B" w:rsidRDefault="00955D73" w:rsidP="00AB52BB">
            <w:pPr>
              <w:spacing w:before="0" w:after="0"/>
              <w:ind w:firstLine="0"/>
              <w:rPr>
                <w:b/>
                <w:sz w:val="26"/>
                <w:szCs w:val="26"/>
                <w:lang w:val="vi-VN"/>
              </w:rPr>
            </w:pPr>
            <w:r w:rsidRPr="0040011B">
              <w:rPr>
                <w:b/>
                <w:sz w:val="26"/>
                <w:szCs w:val="26"/>
                <w:lang w:val="vi-VN"/>
              </w:rPr>
              <w:t>CỘNG HÒA XÃ HỘI CHỦ NGHĨA VIỆT NAM</w:t>
            </w:r>
          </w:p>
          <w:p w:rsidR="00955D73" w:rsidRPr="001560E6" w:rsidRDefault="00955D73" w:rsidP="00AB52BB">
            <w:pPr>
              <w:spacing w:before="0" w:after="0"/>
              <w:ind w:firstLine="0"/>
              <w:jc w:val="center"/>
              <w:rPr>
                <w:b/>
                <w:sz w:val="26"/>
                <w:szCs w:val="26"/>
              </w:rPr>
            </w:pPr>
            <w:r w:rsidRPr="001560E6">
              <w:rPr>
                <w:b/>
                <w:sz w:val="26"/>
                <w:szCs w:val="26"/>
              </w:rPr>
              <w:t>Độc lập - Tự do - Hạnh phúc</w:t>
            </w:r>
          </w:p>
          <w:p w:rsidR="00955D73" w:rsidRPr="00F4294E" w:rsidRDefault="0039772F" w:rsidP="00AB52BB">
            <w:pPr>
              <w:tabs>
                <w:tab w:val="left" w:pos="1650"/>
              </w:tabs>
              <w:spacing w:before="0" w:after="0"/>
              <w:rPr>
                <w:b/>
                <w:sz w:val="26"/>
                <w:szCs w:val="26"/>
              </w:rPr>
            </w:pPr>
            <w:r>
              <w:rPr>
                <w:b/>
                <w:noProof/>
                <w:sz w:val="26"/>
                <w:szCs w:val="26"/>
              </w:rPr>
              <w:pict>
                <v:line id="_x0000_s1027" style="position:absolute;left:0;text-align:left;z-index:251658240" from="85.45pt,6.9pt" to="175.45pt,6.9pt"/>
              </w:pict>
            </w:r>
            <w:r w:rsidR="00955D73" w:rsidRPr="0096207B">
              <w:rPr>
                <w:b/>
                <w:sz w:val="26"/>
                <w:szCs w:val="26"/>
              </w:rPr>
              <w:tab/>
            </w:r>
          </w:p>
        </w:tc>
      </w:tr>
      <w:tr w:rsidR="00955D73" w:rsidRPr="0096207B" w:rsidTr="00CB7753">
        <w:trPr>
          <w:trHeight w:val="432"/>
        </w:trPr>
        <w:tc>
          <w:tcPr>
            <w:tcW w:w="4678" w:type="dxa"/>
          </w:tcPr>
          <w:p w:rsidR="00955D73" w:rsidRPr="00A84D7A" w:rsidRDefault="00955D73" w:rsidP="00CB7753">
            <w:pPr>
              <w:ind w:firstLine="0"/>
              <w:jc w:val="center"/>
              <w:rPr>
                <w:i/>
              </w:rPr>
            </w:pPr>
            <w:r w:rsidRPr="00A84D7A">
              <w:rPr>
                <w:i/>
              </w:rPr>
              <w:t>“V/v giải trình biến động Lợi nhuận”</w:t>
            </w:r>
          </w:p>
          <w:p w:rsidR="00955D73" w:rsidRPr="00F4294E" w:rsidRDefault="00955D73" w:rsidP="00CB7753">
            <w:pPr>
              <w:spacing w:before="0" w:after="0"/>
              <w:ind w:firstLine="0"/>
              <w:jc w:val="center"/>
              <w:rPr>
                <w:b/>
                <w:sz w:val="10"/>
                <w:szCs w:val="26"/>
              </w:rPr>
            </w:pPr>
          </w:p>
        </w:tc>
        <w:tc>
          <w:tcPr>
            <w:tcW w:w="5773" w:type="dxa"/>
          </w:tcPr>
          <w:p w:rsidR="00955D73" w:rsidRPr="00F4294E" w:rsidRDefault="00955D73" w:rsidP="000324C0">
            <w:pPr>
              <w:ind w:firstLine="0"/>
              <w:jc w:val="right"/>
              <w:rPr>
                <w:i/>
                <w:sz w:val="26"/>
                <w:szCs w:val="26"/>
              </w:rPr>
            </w:pPr>
            <w:r>
              <w:rPr>
                <w:i/>
                <w:sz w:val="26"/>
                <w:szCs w:val="26"/>
              </w:rPr>
              <w:tab/>
            </w:r>
            <w:r>
              <w:rPr>
                <w:i/>
                <w:sz w:val="26"/>
                <w:szCs w:val="26"/>
              </w:rPr>
              <w:tab/>
            </w:r>
            <w:r w:rsidRPr="00F4294E">
              <w:rPr>
                <w:i/>
                <w:sz w:val="26"/>
                <w:szCs w:val="26"/>
              </w:rPr>
              <w:t>Đà nẵng,</w:t>
            </w:r>
            <w:r w:rsidRPr="0096207B">
              <w:rPr>
                <w:i/>
                <w:sz w:val="26"/>
                <w:szCs w:val="26"/>
              </w:rPr>
              <w:t xml:space="preserve"> ngày</w:t>
            </w:r>
            <w:r w:rsidRPr="00F4294E">
              <w:rPr>
                <w:i/>
                <w:sz w:val="26"/>
                <w:szCs w:val="26"/>
              </w:rPr>
              <w:t xml:space="preserve"> </w:t>
            </w:r>
            <w:r w:rsidR="000324C0">
              <w:rPr>
                <w:i/>
                <w:sz w:val="26"/>
                <w:szCs w:val="26"/>
              </w:rPr>
              <w:t>12</w:t>
            </w:r>
            <w:r w:rsidRPr="00F4294E">
              <w:rPr>
                <w:i/>
                <w:sz w:val="26"/>
                <w:szCs w:val="26"/>
              </w:rPr>
              <w:t xml:space="preserve"> </w:t>
            </w:r>
            <w:r w:rsidRPr="0096207B">
              <w:rPr>
                <w:i/>
                <w:sz w:val="26"/>
                <w:szCs w:val="26"/>
              </w:rPr>
              <w:t>tháng</w:t>
            </w:r>
            <w:r w:rsidR="000324C0">
              <w:rPr>
                <w:i/>
                <w:sz w:val="26"/>
                <w:szCs w:val="26"/>
              </w:rPr>
              <w:t xml:space="preserve"> 02</w:t>
            </w:r>
            <w:r>
              <w:rPr>
                <w:i/>
                <w:sz w:val="26"/>
                <w:szCs w:val="26"/>
              </w:rPr>
              <w:t xml:space="preserve"> </w:t>
            </w:r>
            <w:r w:rsidRPr="0096207B">
              <w:rPr>
                <w:i/>
                <w:sz w:val="26"/>
                <w:szCs w:val="26"/>
              </w:rPr>
              <w:t xml:space="preserve">năm </w:t>
            </w:r>
            <w:r>
              <w:rPr>
                <w:i/>
                <w:sz w:val="26"/>
                <w:szCs w:val="26"/>
              </w:rPr>
              <w:t>201</w:t>
            </w:r>
            <w:r w:rsidR="000324C0">
              <w:rPr>
                <w:i/>
                <w:sz w:val="26"/>
                <w:szCs w:val="26"/>
              </w:rPr>
              <w:t>5</w:t>
            </w:r>
          </w:p>
        </w:tc>
      </w:tr>
    </w:tbl>
    <w:p w:rsidR="00CB7753" w:rsidRDefault="00955D73" w:rsidP="00CB7753">
      <w:pPr>
        <w:ind w:firstLine="0"/>
        <w:jc w:val="center"/>
        <w:rPr>
          <w:b/>
          <w:sz w:val="32"/>
          <w:szCs w:val="32"/>
        </w:rPr>
      </w:pPr>
      <w:r w:rsidRPr="00C16612">
        <w:rPr>
          <w:rFonts w:ascii="Arial" w:hAnsi="Arial" w:cs="Arial"/>
          <w:sz w:val="20"/>
          <w:szCs w:val="20"/>
          <w:lang w:val="vi-VN" w:eastAsia="vi-VN"/>
        </w:rPr>
        <w:t> </w:t>
      </w:r>
      <w:r w:rsidRPr="00553158">
        <w:rPr>
          <w:b/>
          <w:i/>
          <w:sz w:val="32"/>
          <w:szCs w:val="32"/>
          <w:u w:val="single"/>
          <w:lang w:val="vi-VN"/>
        </w:rPr>
        <w:t xml:space="preserve">Kính </w:t>
      </w:r>
      <w:r>
        <w:rPr>
          <w:b/>
          <w:i/>
          <w:sz w:val="32"/>
          <w:szCs w:val="32"/>
          <w:u w:val="single"/>
          <w:lang w:val="vi-VN"/>
        </w:rPr>
        <w:t>g</w:t>
      </w:r>
      <w:r w:rsidRPr="00553158">
        <w:rPr>
          <w:b/>
          <w:i/>
          <w:sz w:val="32"/>
          <w:szCs w:val="32"/>
          <w:u w:val="single"/>
          <w:lang w:val="vi-VN"/>
        </w:rPr>
        <w:t>ửi:</w:t>
      </w:r>
      <w:r>
        <w:rPr>
          <w:b/>
          <w:sz w:val="32"/>
          <w:szCs w:val="32"/>
          <w:lang w:val="vi-VN"/>
        </w:rPr>
        <w:t xml:space="preserve">    </w:t>
      </w:r>
      <w:r>
        <w:rPr>
          <w:b/>
          <w:sz w:val="32"/>
          <w:szCs w:val="32"/>
        </w:rPr>
        <w:t>- Ủy Ban Chứng Khoán Nhà Nước</w:t>
      </w:r>
      <w:r>
        <w:rPr>
          <w:b/>
          <w:sz w:val="32"/>
          <w:szCs w:val="32"/>
          <w:lang w:val="vi-VN"/>
        </w:rPr>
        <w:t xml:space="preserve"> </w:t>
      </w:r>
    </w:p>
    <w:p w:rsidR="00955D73" w:rsidRDefault="00955D73" w:rsidP="00CB7753">
      <w:pPr>
        <w:ind w:firstLine="0"/>
        <w:jc w:val="center"/>
        <w:rPr>
          <w:b/>
          <w:sz w:val="32"/>
          <w:szCs w:val="32"/>
        </w:rPr>
      </w:pPr>
      <w:r>
        <w:rPr>
          <w:b/>
          <w:sz w:val="32"/>
          <w:szCs w:val="32"/>
        </w:rPr>
        <w:t xml:space="preserve">                        - Sở Giao Dịch Chứng Khoán Hà Nội</w:t>
      </w:r>
    </w:p>
    <w:p w:rsidR="00955D73" w:rsidRPr="00354586" w:rsidRDefault="00955D73" w:rsidP="00CB7753">
      <w:pPr>
        <w:spacing w:before="0" w:after="0"/>
        <w:ind w:firstLine="0"/>
        <w:rPr>
          <w:b/>
          <w:sz w:val="32"/>
          <w:szCs w:val="32"/>
        </w:rPr>
      </w:pPr>
      <w:r>
        <w:rPr>
          <w:b/>
          <w:sz w:val="32"/>
          <w:szCs w:val="32"/>
        </w:rPr>
        <w:t xml:space="preserve"> </w:t>
      </w:r>
      <w:r>
        <w:rPr>
          <w:b/>
          <w:sz w:val="32"/>
          <w:szCs w:val="32"/>
        </w:rPr>
        <w:tab/>
      </w:r>
      <w:r>
        <w:rPr>
          <w:b/>
          <w:sz w:val="32"/>
          <w:szCs w:val="32"/>
        </w:rPr>
        <w:tab/>
      </w:r>
      <w:r>
        <w:rPr>
          <w:b/>
          <w:sz w:val="32"/>
          <w:szCs w:val="32"/>
        </w:rPr>
        <w:tab/>
      </w:r>
      <w:r>
        <w:rPr>
          <w:b/>
          <w:sz w:val="32"/>
          <w:szCs w:val="32"/>
        </w:rPr>
        <w:tab/>
        <w:t xml:space="preserve">   - Quý cổ đông</w:t>
      </w:r>
    </w:p>
    <w:p w:rsidR="00955D73" w:rsidRPr="0071787B" w:rsidRDefault="0071787B" w:rsidP="00955D73">
      <w:pPr>
        <w:spacing w:before="0" w:after="0" w:line="360" w:lineRule="auto"/>
        <w:ind w:firstLine="562"/>
        <w:rPr>
          <w:sz w:val="12"/>
          <w:szCs w:val="10"/>
        </w:rPr>
      </w:pPr>
      <w:r>
        <w:rPr>
          <w:sz w:val="16"/>
          <w:szCs w:val="10"/>
        </w:rPr>
        <w:softHyphen/>
      </w:r>
    </w:p>
    <w:p w:rsidR="00955D73" w:rsidRDefault="00955D73" w:rsidP="00CB7753">
      <w:pPr>
        <w:spacing w:line="276" w:lineRule="auto"/>
        <w:rPr>
          <w:sz w:val="28"/>
          <w:szCs w:val="28"/>
        </w:rPr>
      </w:pPr>
      <w:r>
        <w:rPr>
          <w:sz w:val="28"/>
          <w:szCs w:val="28"/>
        </w:rPr>
        <w:t>Công ty Cổ phần Mai Linh Miền Trung xin giải trình chênh lệch lợi nhuận sau thuế (b</w:t>
      </w:r>
      <w:r w:rsidRPr="00F6517C">
        <w:rPr>
          <w:sz w:val="28"/>
          <w:szCs w:val="28"/>
        </w:rPr>
        <w:t>áo</w:t>
      </w:r>
      <w:r>
        <w:rPr>
          <w:sz w:val="28"/>
          <w:szCs w:val="28"/>
        </w:rPr>
        <w:t xml:space="preserve"> c</w:t>
      </w:r>
      <w:r w:rsidRPr="00F6517C">
        <w:rPr>
          <w:sz w:val="28"/>
          <w:szCs w:val="28"/>
        </w:rPr>
        <w:t>áo</w:t>
      </w:r>
      <w:r>
        <w:rPr>
          <w:sz w:val="28"/>
          <w:szCs w:val="28"/>
        </w:rPr>
        <w:t xml:space="preserve"> hợp nhất) quý </w:t>
      </w:r>
      <w:r w:rsidR="000324C0">
        <w:rPr>
          <w:sz w:val="28"/>
          <w:szCs w:val="28"/>
        </w:rPr>
        <w:t xml:space="preserve">4 </w:t>
      </w:r>
      <w:r>
        <w:rPr>
          <w:sz w:val="28"/>
          <w:szCs w:val="28"/>
        </w:rPr>
        <w:t xml:space="preserve"> năm 2014 so với quý </w:t>
      </w:r>
      <w:r w:rsidR="000324C0">
        <w:rPr>
          <w:sz w:val="28"/>
          <w:szCs w:val="28"/>
        </w:rPr>
        <w:t>4</w:t>
      </w:r>
      <w:r>
        <w:rPr>
          <w:sz w:val="28"/>
          <w:szCs w:val="28"/>
        </w:rPr>
        <w:t xml:space="preserve"> năm 2013 như sau :</w:t>
      </w:r>
    </w:p>
    <w:p w:rsidR="00955D73" w:rsidRDefault="00955D73" w:rsidP="00CB7753">
      <w:pPr>
        <w:spacing w:before="0" w:after="0" w:line="276" w:lineRule="auto"/>
        <w:ind w:firstLine="562"/>
        <w:rPr>
          <w:sz w:val="28"/>
          <w:szCs w:val="28"/>
        </w:rPr>
      </w:pPr>
      <w:r>
        <w:rPr>
          <w:sz w:val="28"/>
          <w:szCs w:val="28"/>
        </w:rPr>
        <w:t xml:space="preserve">Lợi nhuận sau thuế quý này năm nay </w:t>
      </w:r>
      <w:r w:rsidR="000324C0">
        <w:rPr>
          <w:sz w:val="28"/>
          <w:szCs w:val="28"/>
        </w:rPr>
        <w:t>giảm 88%</w:t>
      </w:r>
      <w:r>
        <w:rPr>
          <w:sz w:val="28"/>
          <w:szCs w:val="28"/>
        </w:rPr>
        <w:t xml:space="preserve"> tương đương </w:t>
      </w:r>
      <w:r w:rsidR="000324C0">
        <w:rPr>
          <w:sz w:val="28"/>
          <w:szCs w:val="28"/>
        </w:rPr>
        <w:t>6.594</w:t>
      </w:r>
      <w:r>
        <w:rPr>
          <w:sz w:val="28"/>
          <w:szCs w:val="28"/>
        </w:rPr>
        <w:t xml:space="preserve"> triệu đ</w:t>
      </w:r>
      <w:r w:rsidRPr="00F6517C">
        <w:rPr>
          <w:sz w:val="28"/>
          <w:szCs w:val="28"/>
        </w:rPr>
        <w:t>ồng</w:t>
      </w:r>
      <w:r>
        <w:rPr>
          <w:sz w:val="28"/>
          <w:szCs w:val="28"/>
        </w:rPr>
        <w:t>, là do ảnh hưởng c</w:t>
      </w:r>
      <w:r w:rsidRPr="00F6517C">
        <w:rPr>
          <w:sz w:val="28"/>
          <w:szCs w:val="28"/>
        </w:rPr>
        <w:t>ủa</w:t>
      </w:r>
      <w:r>
        <w:rPr>
          <w:sz w:val="28"/>
          <w:szCs w:val="28"/>
        </w:rPr>
        <w:t xml:space="preserve"> c</w:t>
      </w:r>
      <w:r w:rsidRPr="00F6517C">
        <w:rPr>
          <w:sz w:val="28"/>
          <w:szCs w:val="28"/>
        </w:rPr>
        <w:t>ác</w:t>
      </w:r>
      <w:r>
        <w:rPr>
          <w:sz w:val="28"/>
          <w:szCs w:val="28"/>
        </w:rPr>
        <w:t xml:space="preserve"> y</w:t>
      </w:r>
      <w:r w:rsidRPr="00F6517C">
        <w:rPr>
          <w:sz w:val="28"/>
          <w:szCs w:val="28"/>
        </w:rPr>
        <w:t>ếu</w:t>
      </w:r>
      <w:r>
        <w:rPr>
          <w:sz w:val="28"/>
          <w:szCs w:val="28"/>
        </w:rPr>
        <w:t xml:space="preserve"> t</w:t>
      </w:r>
      <w:r w:rsidRPr="00F6517C">
        <w:rPr>
          <w:sz w:val="28"/>
          <w:szCs w:val="28"/>
        </w:rPr>
        <w:t>ố</w:t>
      </w:r>
      <w:r>
        <w:rPr>
          <w:sz w:val="28"/>
          <w:szCs w:val="28"/>
        </w:rPr>
        <w:t xml:space="preserve"> sau:</w:t>
      </w:r>
    </w:p>
    <w:p w:rsidR="00924E6A" w:rsidRPr="000324C0" w:rsidRDefault="000324C0" w:rsidP="000324C0">
      <w:pPr>
        <w:spacing w:before="0" w:after="0" w:line="360" w:lineRule="auto"/>
        <w:ind w:firstLine="562"/>
        <w:jc w:val="right"/>
        <w:rPr>
          <w:i/>
          <w:sz w:val="28"/>
          <w:szCs w:val="28"/>
        </w:rPr>
      </w:pPr>
      <w:r w:rsidRPr="000324C0">
        <w:rPr>
          <w:i/>
          <w:sz w:val="28"/>
          <w:szCs w:val="28"/>
        </w:rPr>
        <w:t>Đơn vị tính: nghìn đồng</w:t>
      </w:r>
    </w:p>
    <w:tbl>
      <w:tblPr>
        <w:tblW w:w="97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350"/>
        <w:gridCol w:w="1440"/>
        <w:gridCol w:w="1350"/>
        <w:gridCol w:w="960"/>
      </w:tblGrid>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rPr>
                <w:b/>
                <w:bCs/>
                <w:sz w:val="21"/>
                <w:szCs w:val="21"/>
              </w:rPr>
            </w:pPr>
            <w:r w:rsidRPr="000324C0">
              <w:rPr>
                <w:b/>
                <w:bCs/>
                <w:sz w:val="21"/>
                <w:szCs w:val="21"/>
              </w:rPr>
              <w:t>Chỉ tiêu</w:t>
            </w:r>
          </w:p>
        </w:tc>
        <w:tc>
          <w:tcPr>
            <w:tcW w:w="1350" w:type="dxa"/>
            <w:shd w:val="clear" w:color="auto" w:fill="auto"/>
            <w:noWrap/>
            <w:vAlign w:val="bottom"/>
            <w:hideMark/>
          </w:tcPr>
          <w:p w:rsidR="000324C0" w:rsidRPr="000324C0" w:rsidRDefault="000324C0" w:rsidP="000324C0">
            <w:pPr>
              <w:spacing w:before="0" w:after="0"/>
              <w:ind w:firstLine="0"/>
              <w:jc w:val="left"/>
              <w:rPr>
                <w:b/>
              </w:rPr>
            </w:pPr>
            <w:r w:rsidRPr="000324C0">
              <w:rPr>
                <w:b/>
                <w:sz w:val="22"/>
                <w:szCs w:val="22"/>
              </w:rPr>
              <w:t>Quý 4/2014</w:t>
            </w:r>
          </w:p>
        </w:tc>
        <w:tc>
          <w:tcPr>
            <w:tcW w:w="1440" w:type="dxa"/>
            <w:shd w:val="clear" w:color="auto" w:fill="auto"/>
            <w:noWrap/>
            <w:vAlign w:val="bottom"/>
            <w:hideMark/>
          </w:tcPr>
          <w:p w:rsidR="000324C0" w:rsidRPr="000324C0" w:rsidRDefault="000324C0" w:rsidP="000324C0">
            <w:pPr>
              <w:spacing w:before="0" w:after="0"/>
              <w:ind w:firstLine="0"/>
              <w:jc w:val="left"/>
              <w:rPr>
                <w:b/>
              </w:rPr>
            </w:pPr>
            <w:r w:rsidRPr="000324C0">
              <w:rPr>
                <w:b/>
                <w:sz w:val="22"/>
                <w:szCs w:val="22"/>
              </w:rPr>
              <w:t>Quý 4/2013</w:t>
            </w:r>
          </w:p>
        </w:tc>
        <w:tc>
          <w:tcPr>
            <w:tcW w:w="1350" w:type="dxa"/>
            <w:shd w:val="clear" w:color="auto" w:fill="auto"/>
            <w:noWrap/>
            <w:vAlign w:val="bottom"/>
            <w:hideMark/>
          </w:tcPr>
          <w:p w:rsidR="000324C0" w:rsidRPr="000324C0" w:rsidRDefault="000324C0" w:rsidP="000324C0">
            <w:pPr>
              <w:spacing w:before="0" w:after="0"/>
              <w:ind w:firstLine="0"/>
              <w:jc w:val="left"/>
              <w:rPr>
                <w:b/>
                <w:color w:val="000000"/>
              </w:rPr>
            </w:pPr>
            <w:r w:rsidRPr="000324C0">
              <w:rPr>
                <w:b/>
                <w:color w:val="000000"/>
                <w:sz w:val="22"/>
                <w:szCs w:val="22"/>
              </w:rPr>
              <w:t>Chênh lệch</w:t>
            </w:r>
          </w:p>
        </w:tc>
        <w:tc>
          <w:tcPr>
            <w:tcW w:w="960" w:type="dxa"/>
            <w:shd w:val="clear" w:color="auto" w:fill="auto"/>
            <w:noWrap/>
            <w:vAlign w:val="bottom"/>
            <w:hideMark/>
          </w:tcPr>
          <w:p w:rsidR="000324C0" w:rsidRPr="000324C0" w:rsidRDefault="000324C0" w:rsidP="000324C0">
            <w:pPr>
              <w:spacing w:before="0" w:after="0"/>
              <w:ind w:firstLine="0"/>
              <w:jc w:val="left"/>
              <w:rPr>
                <w:b/>
                <w:color w:val="000000"/>
              </w:rPr>
            </w:pPr>
            <w:r w:rsidRPr="000324C0">
              <w:rPr>
                <w:b/>
                <w:color w:val="000000"/>
                <w:sz w:val="22"/>
                <w:szCs w:val="22"/>
              </w:rPr>
              <w:t>Tỷ lệ</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Doanh thu thuần về bán hàng và cung cấp dịch vụ</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99,029,362</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85,648,083</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13,381,279</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16%</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Giá vốn hàng bán</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86,292,551</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68,712,638</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17,579,914</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26%</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rPr>
                <w:b/>
              </w:rPr>
            </w:pPr>
            <w:r w:rsidRPr="000324C0">
              <w:rPr>
                <w:b/>
                <w:sz w:val="22"/>
                <w:szCs w:val="22"/>
              </w:rPr>
              <w:t xml:space="preserve">Lợi nhuận gộp về </w:t>
            </w:r>
            <w:r>
              <w:rPr>
                <w:b/>
                <w:sz w:val="22"/>
                <w:szCs w:val="22"/>
              </w:rPr>
              <w:t>BH</w:t>
            </w:r>
            <w:r w:rsidRPr="000324C0">
              <w:rPr>
                <w:b/>
                <w:sz w:val="22"/>
                <w:szCs w:val="22"/>
              </w:rPr>
              <w:t xml:space="preserve"> và cung cấp dịch vụ</w:t>
            </w:r>
          </w:p>
        </w:tc>
        <w:tc>
          <w:tcPr>
            <w:tcW w:w="1350" w:type="dxa"/>
            <w:shd w:val="clear" w:color="auto" w:fill="auto"/>
            <w:noWrap/>
            <w:vAlign w:val="bottom"/>
            <w:hideMark/>
          </w:tcPr>
          <w:p w:rsidR="000324C0" w:rsidRPr="000324C0" w:rsidRDefault="000324C0" w:rsidP="000324C0">
            <w:pPr>
              <w:spacing w:before="0" w:after="0"/>
              <w:ind w:firstLine="0"/>
              <w:jc w:val="right"/>
              <w:rPr>
                <w:b/>
              </w:rPr>
            </w:pPr>
            <w:r w:rsidRPr="000324C0">
              <w:rPr>
                <w:b/>
                <w:sz w:val="22"/>
                <w:szCs w:val="22"/>
              </w:rPr>
              <w:t>12,736,810</w:t>
            </w:r>
          </w:p>
        </w:tc>
        <w:tc>
          <w:tcPr>
            <w:tcW w:w="1440" w:type="dxa"/>
            <w:shd w:val="clear" w:color="auto" w:fill="auto"/>
            <w:noWrap/>
            <w:vAlign w:val="bottom"/>
            <w:hideMark/>
          </w:tcPr>
          <w:p w:rsidR="000324C0" w:rsidRPr="000324C0" w:rsidRDefault="000324C0" w:rsidP="000324C0">
            <w:pPr>
              <w:spacing w:before="0" w:after="0"/>
              <w:ind w:firstLine="0"/>
              <w:jc w:val="right"/>
              <w:rPr>
                <w:b/>
              </w:rPr>
            </w:pPr>
            <w:r w:rsidRPr="000324C0">
              <w:rPr>
                <w:b/>
                <w:sz w:val="22"/>
                <w:szCs w:val="22"/>
              </w:rPr>
              <w:t>16,935,446</w:t>
            </w:r>
          </w:p>
        </w:tc>
        <w:tc>
          <w:tcPr>
            <w:tcW w:w="135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(4,198,635)</w:t>
            </w:r>
          </w:p>
        </w:tc>
        <w:tc>
          <w:tcPr>
            <w:tcW w:w="96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-25%</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Doanh thu hoạt động tài chính</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800,541</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369,493</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431,047</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117%</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Chi phí tài chính</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8,513,648</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5,931,359</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2,582,289</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44%</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Chi phí bán hàng</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3,622,702</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3,724,220</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(101,518)</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-3%</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Chi phí quản lý doanh nghiệp</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5,753,184</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8,069,182</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(2,315,999)</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-29%</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rPr>
                <w:b/>
              </w:rPr>
            </w:pPr>
            <w:r w:rsidRPr="000324C0">
              <w:rPr>
                <w:b/>
                <w:sz w:val="22"/>
                <w:szCs w:val="22"/>
              </w:rPr>
              <w:t xml:space="preserve">Lợi nhuận thuần từ hoạt động kinh doanh </w:t>
            </w:r>
          </w:p>
        </w:tc>
        <w:tc>
          <w:tcPr>
            <w:tcW w:w="1350" w:type="dxa"/>
            <w:shd w:val="clear" w:color="auto" w:fill="auto"/>
            <w:noWrap/>
            <w:vAlign w:val="bottom"/>
            <w:hideMark/>
          </w:tcPr>
          <w:p w:rsidR="000324C0" w:rsidRPr="000324C0" w:rsidRDefault="000324C0" w:rsidP="000324C0">
            <w:pPr>
              <w:spacing w:before="0" w:after="0"/>
              <w:ind w:firstLine="0"/>
              <w:jc w:val="right"/>
              <w:rPr>
                <w:b/>
              </w:rPr>
            </w:pPr>
            <w:r w:rsidRPr="000324C0">
              <w:rPr>
                <w:b/>
                <w:color w:val="000000"/>
                <w:sz w:val="22"/>
                <w:szCs w:val="22"/>
              </w:rPr>
              <w:t>(4,352,183)</w:t>
            </w:r>
          </w:p>
        </w:tc>
        <w:tc>
          <w:tcPr>
            <w:tcW w:w="1440" w:type="dxa"/>
            <w:shd w:val="clear" w:color="auto" w:fill="auto"/>
            <w:noWrap/>
            <w:vAlign w:val="bottom"/>
            <w:hideMark/>
          </w:tcPr>
          <w:p w:rsidR="000324C0" w:rsidRPr="000324C0" w:rsidRDefault="000324C0" w:rsidP="000324C0">
            <w:pPr>
              <w:spacing w:before="0" w:after="0"/>
              <w:ind w:firstLine="0"/>
              <w:jc w:val="right"/>
              <w:rPr>
                <w:b/>
              </w:rPr>
            </w:pPr>
            <w:r w:rsidRPr="000324C0">
              <w:rPr>
                <w:b/>
                <w:color w:val="000000"/>
                <w:sz w:val="22"/>
                <w:szCs w:val="22"/>
              </w:rPr>
              <w:t>(419,823)</w:t>
            </w:r>
          </w:p>
        </w:tc>
        <w:tc>
          <w:tcPr>
            <w:tcW w:w="135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(3,932,360)</w:t>
            </w:r>
          </w:p>
        </w:tc>
        <w:tc>
          <w:tcPr>
            <w:tcW w:w="96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937%</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Thu nhập khác</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11,740,735</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21,383,450</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(9,642,714)</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-45%</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Chi phí khác</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5,777,326</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10,720,680</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(4,943,354)</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-46%</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rPr>
                <w:b/>
              </w:rPr>
            </w:pPr>
            <w:r w:rsidRPr="000324C0">
              <w:rPr>
                <w:b/>
                <w:sz w:val="22"/>
                <w:szCs w:val="22"/>
              </w:rPr>
              <w:t>Lợi nhuận khác</w:t>
            </w:r>
          </w:p>
        </w:tc>
        <w:tc>
          <w:tcPr>
            <w:tcW w:w="1350" w:type="dxa"/>
            <w:shd w:val="clear" w:color="auto" w:fill="auto"/>
            <w:noWrap/>
            <w:vAlign w:val="bottom"/>
            <w:hideMark/>
          </w:tcPr>
          <w:p w:rsidR="000324C0" w:rsidRPr="000324C0" w:rsidRDefault="000324C0" w:rsidP="000324C0">
            <w:pPr>
              <w:spacing w:before="0" w:after="0"/>
              <w:ind w:firstLine="0"/>
              <w:jc w:val="right"/>
              <w:rPr>
                <w:b/>
              </w:rPr>
            </w:pPr>
            <w:r w:rsidRPr="000324C0">
              <w:rPr>
                <w:b/>
                <w:sz w:val="22"/>
                <w:szCs w:val="22"/>
              </w:rPr>
              <w:t>5,963,409</w:t>
            </w:r>
          </w:p>
        </w:tc>
        <w:tc>
          <w:tcPr>
            <w:tcW w:w="1440" w:type="dxa"/>
            <w:shd w:val="clear" w:color="auto" w:fill="auto"/>
            <w:noWrap/>
            <w:vAlign w:val="bottom"/>
            <w:hideMark/>
          </w:tcPr>
          <w:p w:rsidR="000324C0" w:rsidRPr="000324C0" w:rsidRDefault="000324C0" w:rsidP="000324C0">
            <w:pPr>
              <w:spacing w:before="0" w:after="0"/>
              <w:ind w:firstLine="0"/>
              <w:jc w:val="right"/>
              <w:rPr>
                <w:b/>
              </w:rPr>
            </w:pPr>
            <w:r w:rsidRPr="000324C0">
              <w:rPr>
                <w:b/>
                <w:sz w:val="22"/>
                <w:szCs w:val="22"/>
              </w:rPr>
              <w:t>10,662,770</w:t>
            </w:r>
          </w:p>
        </w:tc>
        <w:tc>
          <w:tcPr>
            <w:tcW w:w="135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(4,699,361)</w:t>
            </w:r>
          </w:p>
        </w:tc>
        <w:tc>
          <w:tcPr>
            <w:tcW w:w="96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-44%</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Tổng lợi nhuận kế toán trước thuế</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1,611,227</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10,242,947</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(8,631,721)</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-84%</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pPr>
            <w:r w:rsidRPr="000324C0">
              <w:rPr>
                <w:sz w:val="22"/>
                <w:szCs w:val="22"/>
              </w:rPr>
              <w:t>Chi phí thuế thu nhập doanh nghiệp hiện hành</w:t>
            </w:r>
          </w:p>
        </w:tc>
        <w:tc>
          <w:tcPr>
            <w:tcW w:w="135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717,730</w:t>
            </w:r>
          </w:p>
        </w:tc>
        <w:tc>
          <w:tcPr>
            <w:tcW w:w="1440" w:type="dxa"/>
            <w:shd w:val="clear" w:color="auto" w:fill="auto"/>
            <w:noWrap/>
            <w:vAlign w:val="bottom"/>
            <w:hideMark/>
          </w:tcPr>
          <w:p w:rsidR="000324C0" w:rsidRPr="000324C0" w:rsidRDefault="000324C0" w:rsidP="000324C0">
            <w:pPr>
              <w:spacing w:before="0" w:after="0"/>
              <w:ind w:firstLine="0"/>
              <w:jc w:val="right"/>
            </w:pPr>
            <w:r w:rsidRPr="000324C0">
              <w:rPr>
                <w:sz w:val="22"/>
                <w:szCs w:val="22"/>
              </w:rPr>
              <w:t>2,754,678</w:t>
            </w:r>
          </w:p>
        </w:tc>
        <w:tc>
          <w:tcPr>
            <w:tcW w:w="135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(2,036,948)</w:t>
            </w:r>
          </w:p>
        </w:tc>
        <w:tc>
          <w:tcPr>
            <w:tcW w:w="960" w:type="dxa"/>
            <w:shd w:val="clear" w:color="auto" w:fill="auto"/>
            <w:noWrap/>
            <w:vAlign w:val="bottom"/>
            <w:hideMark/>
          </w:tcPr>
          <w:p w:rsidR="000324C0" w:rsidRPr="000324C0" w:rsidRDefault="000324C0" w:rsidP="000324C0">
            <w:pPr>
              <w:spacing w:before="0" w:after="0"/>
              <w:ind w:firstLine="0"/>
              <w:jc w:val="right"/>
              <w:rPr>
                <w:color w:val="000000"/>
              </w:rPr>
            </w:pPr>
            <w:r w:rsidRPr="000324C0">
              <w:rPr>
                <w:color w:val="000000"/>
                <w:sz w:val="22"/>
                <w:szCs w:val="22"/>
              </w:rPr>
              <w:t>-74%</w:t>
            </w:r>
          </w:p>
        </w:tc>
      </w:tr>
      <w:tr w:rsidR="000324C0" w:rsidRPr="000324C0" w:rsidTr="000324C0">
        <w:trPr>
          <w:trHeight w:val="300"/>
        </w:trPr>
        <w:tc>
          <w:tcPr>
            <w:tcW w:w="4697" w:type="dxa"/>
            <w:shd w:val="clear" w:color="auto" w:fill="auto"/>
            <w:noWrap/>
            <w:vAlign w:val="bottom"/>
            <w:hideMark/>
          </w:tcPr>
          <w:p w:rsidR="000324C0" w:rsidRPr="000324C0" w:rsidRDefault="000324C0" w:rsidP="000324C0">
            <w:pPr>
              <w:spacing w:before="0" w:after="0"/>
              <w:ind w:firstLine="0"/>
              <w:jc w:val="left"/>
              <w:rPr>
                <w:b/>
              </w:rPr>
            </w:pPr>
            <w:r w:rsidRPr="000324C0">
              <w:rPr>
                <w:b/>
                <w:sz w:val="22"/>
                <w:szCs w:val="22"/>
              </w:rPr>
              <w:t>Lợi nhuận sau thuế thu nhập doanh nghiệp</w:t>
            </w:r>
          </w:p>
        </w:tc>
        <w:tc>
          <w:tcPr>
            <w:tcW w:w="1350" w:type="dxa"/>
            <w:shd w:val="clear" w:color="auto" w:fill="auto"/>
            <w:noWrap/>
            <w:vAlign w:val="bottom"/>
            <w:hideMark/>
          </w:tcPr>
          <w:p w:rsidR="000324C0" w:rsidRPr="000324C0" w:rsidRDefault="000324C0" w:rsidP="000324C0">
            <w:pPr>
              <w:spacing w:before="0" w:after="0"/>
              <w:ind w:firstLine="0"/>
              <w:jc w:val="right"/>
              <w:rPr>
                <w:b/>
              </w:rPr>
            </w:pPr>
            <w:r w:rsidRPr="000324C0">
              <w:rPr>
                <w:b/>
                <w:sz w:val="22"/>
                <w:szCs w:val="22"/>
              </w:rPr>
              <w:t>893,497</w:t>
            </w:r>
          </w:p>
        </w:tc>
        <w:tc>
          <w:tcPr>
            <w:tcW w:w="1440" w:type="dxa"/>
            <w:shd w:val="clear" w:color="auto" w:fill="auto"/>
            <w:noWrap/>
            <w:vAlign w:val="bottom"/>
            <w:hideMark/>
          </w:tcPr>
          <w:p w:rsidR="000324C0" w:rsidRPr="000324C0" w:rsidRDefault="000324C0" w:rsidP="000324C0">
            <w:pPr>
              <w:spacing w:before="0" w:after="0"/>
              <w:ind w:firstLine="0"/>
              <w:jc w:val="right"/>
              <w:rPr>
                <w:b/>
              </w:rPr>
            </w:pPr>
            <w:r w:rsidRPr="000324C0">
              <w:rPr>
                <w:b/>
                <w:sz w:val="22"/>
                <w:szCs w:val="22"/>
              </w:rPr>
              <w:t>7,488,269</w:t>
            </w:r>
          </w:p>
        </w:tc>
        <w:tc>
          <w:tcPr>
            <w:tcW w:w="135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(6,594,772)</w:t>
            </w:r>
          </w:p>
        </w:tc>
        <w:tc>
          <w:tcPr>
            <w:tcW w:w="960" w:type="dxa"/>
            <w:shd w:val="clear" w:color="auto" w:fill="auto"/>
            <w:noWrap/>
            <w:vAlign w:val="bottom"/>
            <w:hideMark/>
          </w:tcPr>
          <w:p w:rsidR="000324C0" w:rsidRPr="000324C0" w:rsidRDefault="000324C0" w:rsidP="000324C0">
            <w:pPr>
              <w:spacing w:before="0" w:after="0"/>
              <w:ind w:firstLine="0"/>
              <w:jc w:val="right"/>
              <w:rPr>
                <w:b/>
                <w:color w:val="000000"/>
              </w:rPr>
            </w:pPr>
            <w:r w:rsidRPr="000324C0">
              <w:rPr>
                <w:b/>
                <w:color w:val="000000"/>
                <w:sz w:val="22"/>
                <w:szCs w:val="22"/>
              </w:rPr>
              <w:t>-88%</w:t>
            </w:r>
          </w:p>
        </w:tc>
      </w:tr>
    </w:tbl>
    <w:p w:rsidR="000324C0" w:rsidRPr="00CB7753" w:rsidRDefault="000324C0" w:rsidP="00955D73">
      <w:pPr>
        <w:spacing w:before="0" w:after="0" w:line="360" w:lineRule="auto"/>
        <w:ind w:firstLine="562"/>
        <w:rPr>
          <w:sz w:val="14"/>
          <w:szCs w:val="28"/>
        </w:rPr>
      </w:pPr>
    </w:p>
    <w:p w:rsidR="00CB7753" w:rsidRDefault="00CB7753" w:rsidP="00CB7753">
      <w:pPr>
        <w:spacing w:before="0" w:after="0" w:line="276" w:lineRule="auto"/>
        <w:ind w:firstLine="562"/>
        <w:rPr>
          <w:sz w:val="28"/>
          <w:szCs w:val="28"/>
        </w:rPr>
      </w:pPr>
      <w:r>
        <w:rPr>
          <w:sz w:val="28"/>
          <w:szCs w:val="28"/>
        </w:rPr>
        <w:t xml:space="preserve">- Lợi nhuận gộp kỳ này giảm hơn 4 tỷ đồng do cuối năm đơn vị trích lập một số khoản dự phòng phải thu và </w:t>
      </w:r>
      <w:r w:rsidR="00551A7B">
        <w:rPr>
          <w:sz w:val="28"/>
          <w:szCs w:val="28"/>
        </w:rPr>
        <w:t xml:space="preserve">chi phí tiền lương </w:t>
      </w:r>
      <w:r w:rsidR="00CD1FFE">
        <w:rPr>
          <w:sz w:val="28"/>
          <w:szCs w:val="28"/>
        </w:rPr>
        <w:t>t</w:t>
      </w:r>
      <w:r w:rsidR="00551A7B">
        <w:rPr>
          <w:sz w:val="28"/>
          <w:szCs w:val="28"/>
        </w:rPr>
        <w:t>háng 13/2014</w:t>
      </w:r>
      <w:r>
        <w:rPr>
          <w:sz w:val="28"/>
          <w:szCs w:val="28"/>
        </w:rPr>
        <w:t xml:space="preserve"> .</w:t>
      </w:r>
    </w:p>
    <w:p w:rsidR="00CB7753" w:rsidRDefault="00CB7753" w:rsidP="00CB7753">
      <w:pPr>
        <w:spacing w:before="0" w:after="0" w:line="276" w:lineRule="auto"/>
        <w:ind w:firstLine="562"/>
        <w:rPr>
          <w:sz w:val="28"/>
          <w:szCs w:val="28"/>
        </w:rPr>
      </w:pPr>
      <w:r>
        <w:rPr>
          <w:sz w:val="28"/>
          <w:szCs w:val="28"/>
        </w:rPr>
        <w:t>- Lợi nhuận tư thanh lý xe quý này năm nay giảm hơn 4 tỷ dẫn đến Lợi nhuận sau thuế quý này giảm.</w:t>
      </w:r>
    </w:p>
    <w:p w:rsidR="00924E6A" w:rsidRDefault="00CB7753" w:rsidP="00CB7753">
      <w:pPr>
        <w:spacing w:before="0" w:after="0" w:line="276" w:lineRule="auto"/>
        <w:ind w:firstLine="562"/>
        <w:rPr>
          <w:sz w:val="28"/>
          <w:szCs w:val="28"/>
        </w:rPr>
      </w:pPr>
      <w:r>
        <w:rPr>
          <w:sz w:val="28"/>
          <w:szCs w:val="28"/>
        </w:rPr>
        <w:t>-</w:t>
      </w:r>
      <w:r w:rsidR="008148C5">
        <w:rPr>
          <w:sz w:val="28"/>
          <w:szCs w:val="28"/>
        </w:rPr>
        <w:t xml:space="preserve"> Bên cạnh đó quý này năm nay có sự đóng góp của Mai Linh Bình Định vừa tiếp quản đầu năm 2014 nên cũng ảnh hưởng đảng kể đến HĐKD của quý này.</w:t>
      </w:r>
    </w:p>
    <w:p w:rsidR="00955D73" w:rsidRDefault="00955D73" w:rsidP="00CB7753">
      <w:pPr>
        <w:spacing w:before="0" w:after="0" w:line="276" w:lineRule="auto"/>
        <w:ind w:firstLine="562"/>
        <w:rPr>
          <w:sz w:val="28"/>
          <w:szCs w:val="28"/>
        </w:rPr>
      </w:pPr>
      <w:r>
        <w:rPr>
          <w:sz w:val="28"/>
          <w:szCs w:val="28"/>
        </w:rPr>
        <w:t>- Ngoài ra có một số chỉ tiêu có ảnh hưởng đến việc chênh lệch này nhưng không đáng kể.</w:t>
      </w:r>
    </w:p>
    <w:p w:rsidR="00955D73" w:rsidRPr="002C58E2" w:rsidRDefault="00955D73" w:rsidP="00955D73">
      <w:pPr>
        <w:spacing w:before="0" w:after="0" w:line="360" w:lineRule="auto"/>
        <w:ind w:left="562" w:firstLine="0"/>
        <w:rPr>
          <w:b/>
          <w:i/>
          <w:sz w:val="28"/>
          <w:szCs w:val="28"/>
          <w:lang w:val="vi-VN"/>
        </w:rPr>
      </w:pPr>
      <w:r w:rsidRPr="002C58E2">
        <w:rPr>
          <w:b/>
          <w:i/>
          <w:sz w:val="28"/>
          <w:szCs w:val="28"/>
          <w:lang w:val="vi-VN"/>
        </w:rPr>
        <w:t>Trân trọng !</w:t>
      </w:r>
    </w:p>
    <w:tbl>
      <w:tblPr>
        <w:tblW w:w="0" w:type="auto"/>
        <w:tblLook w:val="01E0"/>
      </w:tblPr>
      <w:tblGrid>
        <w:gridCol w:w="4785"/>
        <w:gridCol w:w="4786"/>
      </w:tblGrid>
      <w:tr w:rsidR="00955D73" w:rsidRPr="00DD48FA" w:rsidTr="00AB52BB">
        <w:tc>
          <w:tcPr>
            <w:tcW w:w="4810" w:type="dxa"/>
          </w:tcPr>
          <w:p w:rsidR="00955D73" w:rsidRPr="00640781" w:rsidRDefault="00955D73" w:rsidP="00AB52BB">
            <w:pPr>
              <w:spacing w:before="0" w:after="0"/>
              <w:ind w:firstLine="0"/>
              <w:rPr>
                <w:i/>
                <w:sz w:val="26"/>
                <w:szCs w:val="26"/>
                <w:u w:val="single"/>
              </w:rPr>
            </w:pPr>
            <w:r>
              <w:rPr>
                <w:sz w:val="26"/>
                <w:szCs w:val="28"/>
              </w:rPr>
              <w:softHyphen/>
            </w:r>
            <w:r>
              <w:rPr>
                <w:sz w:val="26"/>
                <w:szCs w:val="28"/>
              </w:rPr>
              <w:softHyphen/>
            </w:r>
            <w:r>
              <w:rPr>
                <w:i/>
                <w:sz w:val="26"/>
                <w:szCs w:val="26"/>
                <w:u w:val="single"/>
                <w:lang w:val="vi-VN"/>
              </w:rPr>
              <w:t>Nơi nhận</w:t>
            </w:r>
            <w:r w:rsidRPr="00640781">
              <w:rPr>
                <w:i/>
                <w:sz w:val="26"/>
                <w:szCs w:val="26"/>
                <w:u w:val="single"/>
              </w:rPr>
              <w:t>:</w:t>
            </w:r>
          </w:p>
          <w:p w:rsidR="00955D73" w:rsidRPr="00CA1536" w:rsidRDefault="00955D73" w:rsidP="00AB52BB">
            <w:pPr>
              <w:spacing w:before="0" w:after="0"/>
              <w:ind w:firstLine="0"/>
              <w:rPr>
                <w:sz w:val="26"/>
                <w:szCs w:val="26"/>
                <w:lang w:val="vi-VN"/>
              </w:rPr>
            </w:pPr>
            <w:r>
              <w:rPr>
                <w:sz w:val="26"/>
                <w:szCs w:val="26"/>
              </w:rPr>
              <w:t xml:space="preserve">- </w:t>
            </w:r>
            <w:r>
              <w:rPr>
                <w:sz w:val="26"/>
                <w:szCs w:val="26"/>
                <w:lang w:val="vi-VN"/>
              </w:rPr>
              <w:t>Như trên</w:t>
            </w:r>
          </w:p>
          <w:p w:rsidR="00955D73" w:rsidRPr="00CA1536" w:rsidRDefault="00955D73" w:rsidP="00AB52BB">
            <w:pPr>
              <w:spacing w:before="0" w:after="0"/>
              <w:ind w:firstLine="0"/>
              <w:rPr>
                <w:sz w:val="26"/>
                <w:szCs w:val="26"/>
                <w:lang w:val="vi-VN"/>
              </w:rPr>
            </w:pPr>
            <w:r>
              <w:rPr>
                <w:sz w:val="26"/>
                <w:szCs w:val="26"/>
              </w:rPr>
              <w:t xml:space="preserve">- </w:t>
            </w:r>
            <w:r>
              <w:rPr>
                <w:sz w:val="26"/>
                <w:szCs w:val="26"/>
                <w:lang w:val="vi-VN"/>
              </w:rPr>
              <w:t>Lưu: VT, QLNV</w:t>
            </w:r>
          </w:p>
        </w:tc>
        <w:tc>
          <w:tcPr>
            <w:tcW w:w="4811" w:type="dxa"/>
          </w:tcPr>
          <w:p w:rsidR="00955D73" w:rsidRPr="00DD48FA" w:rsidRDefault="00955D73" w:rsidP="00AB52BB">
            <w:pPr>
              <w:spacing w:before="0" w:after="0"/>
              <w:ind w:firstLine="0"/>
              <w:jc w:val="center"/>
              <w:rPr>
                <w:b/>
                <w:bCs/>
                <w:sz w:val="26"/>
                <w:szCs w:val="26"/>
              </w:rPr>
            </w:pPr>
            <w:r>
              <w:rPr>
                <w:b/>
                <w:bCs/>
                <w:sz w:val="26"/>
                <w:szCs w:val="26"/>
                <w:lang w:val="vi-VN"/>
              </w:rPr>
              <w:t>TỔNG GIÁM ĐỐC</w:t>
            </w:r>
            <w:r w:rsidRPr="00DD48FA">
              <w:rPr>
                <w:b/>
                <w:bCs/>
                <w:sz w:val="26"/>
                <w:szCs w:val="26"/>
              </w:rPr>
              <w:t xml:space="preserve"> </w:t>
            </w:r>
          </w:p>
          <w:p w:rsidR="00955D73" w:rsidRDefault="00955D73" w:rsidP="00AB52BB">
            <w:pPr>
              <w:spacing w:before="0" w:after="0"/>
              <w:ind w:firstLine="0"/>
              <w:jc w:val="center"/>
              <w:rPr>
                <w:sz w:val="26"/>
                <w:szCs w:val="26"/>
              </w:rPr>
            </w:pPr>
          </w:p>
          <w:p w:rsidR="00CB7753" w:rsidRDefault="00CB7753" w:rsidP="00AB52BB">
            <w:pPr>
              <w:spacing w:before="0" w:after="0"/>
              <w:ind w:firstLine="0"/>
              <w:jc w:val="center"/>
              <w:rPr>
                <w:sz w:val="26"/>
                <w:szCs w:val="26"/>
              </w:rPr>
            </w:pPr>
          </w:p>
          <w:p w:rsidR="00CB7753" w:rsidRPr="00CB7753" w:rsidRDefault="00CB7753" w:rsidP="00AB52BB">
            <w:pPr>
              <w:spacing w:before="0" w:after="0"/>
              <w:ind w:firstLine="0"/>
              <w:jc w:val="center"/>
              <w:rPr>
                <w:sz w:val="42"/>
                <w:szCs w:val="26"/>
              </w:rPr>
            </w:pPr>
          </w:p>
        </w:tc>
      </w:tr>
    </w:tbl>
    <w:p w:rsidR="000E3979" w:rsidRDefault="00955D73" w:rsidP="0071787B">
      <w:pPr>
        <w:spacing w:before="0" w:after="0"/>
        <w:ind w:firstLine="0"/>
        <w:jc w:val="center"/>
      </w:pPr>
      <w:r>
        <w:tab/>
      </w:r>
      <w:r>
        <w:tab/>
      </w:r>
      <w:r>
        <w:tab/>
      </w:r>
      <w:r>
        <w:tab/>
      </w:r>
      <w:r>
        <w:tab/>
      </w:r>
      <w:r>
        <w:tab/>
        <w:t xml:space="preserve">     </w:t>
      </w:r>
      <w:r>
        <w:rPr>
          <w:b/>
          <w:bCs/>
          <w:sz w:val="26"/>
          <w:szCs w:val="26"/>
        </w:rPr>
        <w:t>VÕ THÀNH NHÂN</w:t>
      </w:r>
    </w:p>
    <w:sectPr w:rsidR="000E3979" w:rsidSect="00CB7753">
      <w:headerReference w:type="default" r:id="rId6"/>
      <w:pgSz w:w="11907" w:h="16839" w:code="9"/>
      <w:pgMar w:top="90" w:right="851" w:bottom="270" w:left="1701" w:header="28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C1" w:rsidRDefault="00916EC1" w:rsidP="00B42850">
      <w:pPr>
        <w:spacing w:before="0" w:after="0"/>
      </w:pPr>
      <w:r>
        <w:separator/>
      </w:r>
    </w:p>
  </w:endnote>
  <w:endnote w:type="continuationSeparator" w:id="1">
    <w:p w:rsidR="00916EC1" w:rsidRDefault="00916EC1" w:rsidP="00B428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C1" w:rsidRDefault="00916EC1" w:rsidP="00B42850">
      <w:pPr>
        <w:spacing w:before="0" w:after="0"/>
      </w:pPr>
      <w:r>
        <w:separator/>
      </w:r>
    </w:p>
  </w:footnote>
  <w:footnote w:type="continuationSeparator" w:id="1">
    <w:p w:rsidR="00916EC1" w:rsidRDefault="00916EC1" w:rsidP="00B4285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02" w:rsidRDefault="00916EC1" w:rsidP="00CC6608">
    <w:pPr>
      <w:pStyle w:val="Header"/>
      <w:tabs>
        <w:tab w:val="clear" w:pos="468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5D73"/>
    <w:rsid w:val="000324C0"/>
    <w:rsid w:val="0004555C"/>
    <w:rsid w:val="000E3979"/>
    <w:rsid w:val="0039772F"/>
    <w:rsid w:val="00551A7B"/>
    <w:rsid w:val="0071787B"/>
    <w:rsid w:val="007F1323"/>
    <w:rsid w:val="008148C5"/>
    <w:rsid w:val="00835B7A"/>
    <w:rsid w:val="00854292"/>
    <w:rsid w:val="00916EC1"/>
    <w:rsid w:val="00924E6A"/>
    <w:rsid w:val="00955D73"/>
    <w:rsid w:val="009B72ED"/>
    <w:rsid w:val="00B42850"/>
    <w:rsid w:val="00BC1D1A"/>
    <w:rsid w:val="00CB7753"/>
    <w:rsid w:val="00CD1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73"/>
    <w:pPr>
      <w:spacing w:before="120" w:after="12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D73"/>
    <w:pPr>
      <w:tabs>
        <w:tab w:val="center" w:pos="4680"/>
        <w:tab w:val="right" w:pos="9360"/>
      </w:tabs>
    </w:pPr>
  </w:style>
  <w:style w:type="character" w:customStyle="1" w:styleId="HeaderChar">
    <w:name w:val="Header Char"/>
    <w:basedOn w:val="DefaultParagraphFont"/>
    <w:link w:val="Header"/>
    <w:uiPriority w:val="99"/>
    <w:rsid w:val="00955D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001081">
      <w:bodyDiv w:val="1"/>
      <w:marLeft w:val="0"/>
      <w:marRight w:val="0"/>
      <w:marTop w:val="0"/>
      <w:marBottom w:val="0"/>
      <w:divBdr>
        <w:top w:val="none" w:sz="0" w:space="0" w:color="auto"/>
        <w:left w:val="none" w:sz="0" w:space="0" w:color="auto"/>
        <w:bottom w:val="none" w:sz="0" w:space="0" w:color="auto"/>
        <w:right w:val="none" w:sz="0" w:space="0" w:color="auto"/>
      </w:divBdr>
    </w:div>
    <w:div w:id="1104181818">
      <w:bodyDiv w:val="1"/>
      <w:marLeft w:val="0"/>
      <w:marRight w:val="0"/>
      <w:marTop w:val="0"/>
      <w:marBottom w:val="0"/>
      <w:divBdr>
        <w:top w:val="none" w:sz="0" w:space="0" w:color="auto"/>
        <w:left w:val="none" w:sz="0" w:space="0" w:color="auto"/>
        <w:bottom w:val="none" w:sz="0" w:space="0" w:color="auto"/>
        <w:right w:val="none" w:sz="0" w:space="0" w:color="auto"/>
      </w:divBdr>
    </w:div>
    <w:div w:id="1370912371">
      <w:bodyDiv w:val="1"/>
      <w:marLeft w:val="0"/>
      <w:marRight w:val="0"/>
      <w:marTop w:val="0"/>
      <w:marBottom w:val="0"/>
      <w:divBdr>
        <w:top w:val="none" w:sz="0" w:space="0" w:color="auto"/>
        <w:left w:val="none" w:sz="0" w:space="0" w:color="auto"/>
        <w:bottom w:val="none" w:sz="0" w:space="0" w:color="auto"/>
        <w:right w:val="none" w:sz="0" w:space="0" w:color="auto"/>
      </w:divBdr>
    </w:div>
    <w:div w:id="1526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A4RJz1orA6yaYVnbn3eHAHXoKos=</DigestValue>
    </Reference>
    <Reference URI="#idOfficeObject" Type="http://www.w3.org/2000/09/xmldsig#Object">
      <DigestMethod Algorithm="http://www.w3.org/2000/09/xmldsig#sha1"/>
      <DigestValue>J98+JPGa3W5jrFyzroQ1kzqhQek=</DigestValue>
    </Reference>
  </SignedInfo>
  <SignatureValue>
    0LZCWk9hlCkiKVZwTBKsGaMOhuxxf1n9ioUtHKQZAPnaUqhcCz2BHpzAlMJXwca0EYgFAkwm
    F6Z3WmnPgMIMobOgVl3Ox+PahVGQulOQY/B2/OHpkxqi8F9LwGpFfsHjWLWbVA2ApdWQMewt
    NhmMv4A96Qz5EfNH0gAFWcFXNyI=
  </SignatureValue>
  <KeyInfo>
    <KeyValue>
      <RSAKeyValue>
        <Modulus>
            1St5IWss8mxnlNu511CSeclTWo4VvdFGeB7CKhZbrsHf0rTc1aXoxxCZcQmMyMT+LM/O4sCc
            U4JDB0wFYzDvoiwT0UoPt9H8p0RmjPB+7thbKGWmdk97aVXujKyIFH7F7SKvKw/zcOf5RZdu
            NIpCjTSGVnNSMhkeNTOWe0tgeP8=
          </Modulus>
        <Exponent>AQAB</Exponent>
      </RSAKeyValue>
    </KeyValue>
    <X509Data>
      <X509Certificate>
          MIIGSzCCBDOgAwIBAgIQVAHWhFUjBv9v/ZJMlVnmHzANBgkqhkiG9w0BAQUFADBpMQswCQYD
          VQQGEwJWTjETMBEGA1UEChMKVk5QVCBHcm91cDEeMBwGA1UECxMVVk5QVC1DQSBUcnVzdCBO
          ZXR3b3JrMSUwIwYDVQQDExxWTlBUIENlcnRpZmljYXRpb24gQXV0aG9yaXR5MB4XDTExMTIw
          NTA0MTIwNFoXDTE1MDYwNjA0MTIwNFowggELMQswCQYDVQQGEwJWTjEUMBIGA1UECAwLxJDD
          oCBO4bq1bmcxFDASBgNVBAcMC0jhuqNpIENow6J1MUQwQgYDVQQKDDtDw5RORyBUWSBD4buU
          IFBI4bqmTiBU4bqsUCDEkE/DgE4gTUFJIExJTkggQuG6rkMgVFJVTkcgQuG7mDEjMCEGA1UE
          CwwaQmFuIFTDoGkgQ2jDrW5oIEvhur8gVG/DoW4xLTArBgNVBAwMJFBow7MgVOG7lW5nIEdp
          w6FtIMSQ4buRYyBUw6BpIENow61uaDEWMBQGA1UEAwwNVFLGr8agTkcgVMOASTEeMBwGCgmS
          JomT8ixkAQEMDkNNTkQ6MjAxMjIxNTI5MIGfMA0GCSqGSIb3DQEBAQUAA4GNADCBiQKBgQDV
          K3khayzybGeU27nXUJJ5yVNajhW90UZ4HsIqFluuwd/StNzVpejHEJlxCYzIxP4sz87iwJxT
          gkMHTAVjMO+iLBPRSg+30fynRGaM8H7u2FsoZaZ2T3tpVe6MrIgUfsXtIq8rD/Nw5/lFl240
          ikKNNIZWc1IyGR41M5Z7S2B4/wIDAQABo4IBzTCCAckwcAYIKwYBBQUHAQEEZDBiMDIGCCsG
          AQUFBzAChiZodHRwOi8vcHViLnZucHQtY2Eudm4vY2VydHMvdm5wdGNhLmNlcjAsBggrBgEF
          BQcwAYYgaHR0cDovL29jc3Audm5wdC1jYS52bi9yZXNwb25kZXIwHQYDVR0OBBYEFFQXgTQu
          8Tnsn+yWItOn/ca9TxJ2MAwGA1UdEwEB/wQCMAAwHwYDVR0jBBgwFoAUBmnA1dUCihWNRn3p
          fOJoClWsaq8wdgYDVR0gBG8wbTA0BgkrBgEEAYH6OgMwJzAlBggrBgEFBQcCARYZaHR0cDov
          L3B1Yi52bnB0LWNhLnZuL3JwYTA1BgsrBgEEAYH6OgMBAjAmMCQGCCsGAQUFBwICMBgeFgBT
          AEkARAAtAFAAMQAuADAALQAxAHkwMQYDVR0fBCowKDAmoCSgIoYgaHR0cDovL2NybC52bnB0
          LWNhLnZuL3ZucHRjYS5jcmwwDgYDVR0PAQH/BAQDAgTwMCkGA1UdJQQiMCAGCCsGAQUFBwMC
          BggrBgEFBQcDBAYKKwYBBAGCNwoDDDAhBgNVHREEGjAYgRZ0cnVvbmd0YWlfdm5AeWFob28u
          Y29tMA0GCSqGSIb3DQEBBQUAA4ICAQBxB4WLELzezVgTFf1hNswlmx2YGhP+MtcwsTGLBwWW
          XhHlafhbWnn/SJUmD2qhSLatdhmWTsU3YEgHZpLUovVEpawT5lHFixv/hOOIhcKaCmuO5P7t
          QPxswqcx5YN2dqF9FGPzJj3+7OLar4/w0cMyn/2NWyajuXjuy6/tRO/m82Xwmq5CMKELyCjy
          TZS/eLHw3pmepWvff5nL+sndJ/BjAMUT5ntXvmMINrH+57VG0xS4wRR7bWS9NBSiKsHB+UUh
          hOT/1869cg8+1tDdqm6ZkJXcWQfeTDBHYh/vWGG49HxacQoqzYK172+ZwcbvRFPRXiy8/Pr5
          2F5YmzMphmPfPyJeUpoJjq2kYFWgJXXQpz5NPkr8fkPkqAmz42/dCcrFJHvphOP9yZrxwogJ
          WioURUjxGcr9daj9z8ZjG4GOErQ+SCXJMTXh9quEaFBhu7FlI0wK+9fh8NIbHY9qriv+Kgs5
          WtiIGuCH2xSMBcfkkq9/tASEpyh4a3aEzZvzGzaAFudHnnVXHZsHJ0Tft8zZ3KrIr9M4hFa4
          L4fpcn4GADmZ8lEZ1stWxoggZcK7gqG3Cks2DxTTWHg+ajUnYguVZvq41OA8qO1/7tJ07vvS
          HjMZokkOUPr1/ALrtYKMMJWCtPMJlWjXcqRea1aTiMP/odFHq83fe9SlWMDtbXzX5g==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2T96TfSJStQ5l7/xkjZKcltuYMc=</DigestValue>
      </Reference>
      <Reference URI="/word/document.xml?ContentType=application/vnd.openxmlformats-officedocument.wordprocessingml.document.main+xml">
        <DigestMethod Algorithm="http://www.w3.org/2000/09/xmldsig#sha1"/>
        <DigestValue>p33nAAm5XzpZEgylDayAVIHf/6g=</DigestValue>
      </Reference>
      <Reference URI="/word/endnotes.xml?ContentType=application/vnd.openxmlformats-officedocument.wordprocessingml.endnotes+xml">
        <DigestMethod Algorithm="http://www.w3.org/2000/09/xmldsig#sha1"/>
        <DigestValue>ILC54XWbc7RyY0oV8zJK2thIooY=</DigestValue>
      </Reference>
      <Reference URI="/word/fontTable.xml?ContentType=application/vnd.openxmlformats-officedocument.wordprocessingml.fontTable+xml">
        <DigestMethod Algorithm="http://www.w3.org/2000/09/xmldsig#sha1"/>
        <DigestValue>r841aDeTGynJ9dWjZ4sSwcBqCoY=</DigestValue>
      </Reference>
      <Reference URI="/word/footnotes.xml?ContentType=application/vnd.openxmlformats-officedocument.wordprocessingml.footnotes+xml">
        <DigestMethod Algorithm="http://www.w3.org/2000/09/xmldsig#sha1"/>
        <DigestValue>t7p+sNRc5nKtcmg3oByu2BYRSPA=</DigestValue>
      </Reference>
      <Reference URI="/word/header1.xml?ContentType=application/vnd.openxmlformats-officedocument.wordprocessingml.header+xml">
        <DigestMethod Algorithm="http://www.w3.org/2000/09/xmldsig#sha1"/>
        <DigestValue>VJ3xNQQ6Sdk8aZUtMT7E/VdWo1w=</DigestValue>
      </Reference>
      <Reference URI="/word/settings.xml?ContentType=application/vnd.openxmlformats-officedocument.wordprocessingml.settings+xml">
        <DigestMethod Algorithm="http://www.w3.org/2000/09/xmldsig#sha1"/>
        <DigestValue>gaEFLoebE345MSfXgRcmZ9fIU1E=</DigestValue>
      </Reference>
      <Reference URI="/word/styles.xml?ContentType=application/vnd.openxmlformats-officedocument.wordprocessingml.styles+xml">
        <DigestMethod Algorithm="http://www.w3.org/2000/09/xmldsig#sha1"/>
        <DigestValue>0cQREaVfVBwuPw8aFvu6ymOo3es=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IMRzfVdq0dlCgvIU40MrCp/dWKM=</DigestValue>
      </Reference>
    </Manifest>
    <SignatureProperties>
      <SignatureProperty Id="idSignatureTime" Target="#idPackageSignature">
        <mdssi:SignatureTime>
          <mdssi:Format>YYYY-MM-DDThh:mm:ssTZD</mdssi:Format>
          <mdssi:Value>2015-02-13T06:36:46Z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245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8</cp:revision>
  <cp:lastPrinted>2014-10-29T07:40:00Z</cp:lastPrinted>
  <dcterms:created xsi:type="dcterms:W3CDTF">2014-10-29T06:41:00Z</dcterms:created>
  <dcterms:modified xsi:type="dcterms:W3CDTF">2015-02-13T02:31:00Z</dcterms:modified>
</cp:coreProperties>
</file>